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0E1E28"/>
    <w:p w:rsidR="00764C73"/>
    <w:p w:rsidR="00764C73"/>
    <w:p w:rsidR="00764C73"/>
    <w:p w:rsidR="00764C73"/>
    <w:p w:rsidR="00764C73" w:rsidP="00764C73">
      <w:pPr>
        <w:spacing w:line="480" w:lineRule="auto"/>
        <w:jc w:val="center"/>
        <w:rPr>
          <w:rFonts w:asciiTheme="majorBidi" w:hAnsiTheme="majorBidi" w:cstheme="majorBidi"/>
          <w:sz w:val="24"/>
          <w:szCs w:val="24"/>
        </w:rPr>
      </w:pPr>
      <w:r>
        <w:rPr>
          <w:rFonts w:asciiTheme="majorBidi" w:hAnsiTheme="majorBidi" w:cstheme="majorBidi"/>
          <w:sz w:val="24"/>
          <w:szCs w:val="24"/>
        </w:rPr>
        <w:t>Garza v. Idaho</w:t>
      </w:r>
    </w:p>
    <w:p w:rsidR="00764C73" w:rsidP="00764C73">
      <w:pPr>
        <w:spacing w:line="480" w:lineRule="auto"/>
        <w:jc w:val="center"/>
        <w:rPr>
          <w:rFonts w:asciiTheme="majorBidi" w:hAnsiTheme="majorBidi" w:cstheme="majorBidi"/>
          <w:sz w:val="24"/>
          <w:szCs w:val="24"/>
        </w:rPr>
      </w:pPr>
      <w:r>
        <w:rPr>
          <w:rFonts w:asciiTheme="majorBidi" w:hAnsiTheme="majorBidi" w:cstheme="majorBidi"/>
          <w:sz w:val="24"/>
          <w:szCs w:val="24"/>
        </w:rPr>
        <w:t>Name</w:t>
      </w:r>
    </w:p>
    <w:p w:rsidR="00764C73" w:rsidP="00764C73">
      <w:pPr>
        <w:spacing w:line="480" w:lineRule="auto"/>
        <w:jc w:val="center"/>
        <w:rPr>
          <w:rFonts w:asciiTheme="majorBidi" w:hAnsiTheme="majorBidi" w:cstheme="majorBidi"/>
          <w:sz w:val="24"/>
          <w:szCs w:val="24"/>
        </w:rPr>
      </w:pPr>
      <w:r>
        <w:rPr>
          <w:rFonts w:asciiTheme="majorBidi" w:hAnsiTheme="majorBidi" w:cstheme="majorBidi"/>
          <w:sz w:val="24"/>
          <w:szCs w:val="24"/>
        </w:rPr>
        <w:t>Institution</w:t>
      </w:r>
    </w:p>
    <w:p w:rsidR="00764C73" w:rsidP="00764C73">
      <w:pPr>
        <w:spacing w:line="480" w:lineRule="auto"/>
        <w:jc w:val="center"/>
        <w:rPr>
          <w:rFonts w:asciiTheme="majorBidi" w:hAnsiTheme="majorBidi" w:cstheme="majorBidi"/>
          <w:sz w:val="24"/>
          <w:szCs w:val="24"/>
        </w:rPr>
      </w:pPr>
      <w:r>
        <w:rPr>
          <w:rFonts w:asciiTheme="majorBidi" w:hAnsiTheme="majorBidi" w:cstheme="majorBidi"/>
          <w:sz w:val="24"/>
          <w:szCs w:val="24"/>
        </w:rPr>
        <w:t>Date</w:t>
      </w:r>
    </w:p>
    <w:p w:rsidR="00764C73">
      <w:pPr>
        <w:rPr>
          <w:rFonts w:asciiTheme="majorBidi" w:hAnsiTheme="majorBidi" w:cstheme="majorBidi"/>
          <w:sz w:val="24"/>
          <w:szCs w:val="24"/>
        </w:rPr>
      </w:pPr>
      <w:r>
        <w:rPr>
          <w:rFonts w:asciiTheme="majorBidi" w:hAnsiTheme="majorBidi" w:cstheme="majorBidi"/>
          <w:sz w:val="24"/>
          <w:szCs w:val="24"/>
        </w:rPr>
        <w:br w:type="page"/>
      </w:r>
    </w:p>
    <w:p w:rsidR="00764C73" w:rsidP="00764C73">
      <w:pPr>
        <w:spacing w:line="480" w:lineRule="auto"/>
        <w:jc w:val="center"/>
        <w:rPr>
          <w:rFonts w:asciiTheme="majorBidi" w:hAnsiTheme="majorBidi" w:cstheme="majorBidi"/>
          <w:sz w:val="24"/>
          <w:szCs w:val="24"/>
        </w:rPr>
      </w:pPr>
      <w:r w:rsidRPr="00FA6C6A">
        <w:rPr>
          <w:rFonts w:asciiTheme="majorBidi" w:hAnsiTheme="majorBidi" w:cstheme="majorBidi"/>
          <w:i/>
          <w:iCs/>
          <w:sz w:val="24"/>
          <w:szCs w:val="24"/>
        </w:rPr>
        <w:t>Garza v. Idaho</w:t>
      </w:r>
      <w:r>
        <w:rPr>
          <w:rFonts w:asciiTheme="majorBidi" w:hAnsiTheme="majorBidi" w:cstheme="majorBidi"/>
          <w:sz w:val="24"/>
          <w:szCs w:val="24"/>
        </w:rPr>
        <w:t xml:space="preserve"> case no.  </w:t>
      </w:r>
      <w:r w:rsidR="00ED6D0F">
        <w:rPr>
          <w:rFonts w:asciiTheme="majorBidi" w:hAnsiTheme="majorBidi" w:cstheme="majorBidi"/>
          <w:sz w:val="24"/>
          <w:szCs w:val="24"/>
        </w:rPr>
        <w:t>586 U.S 17-</w:t>
      </w:r>
      <w:r w:rsidR="0068225F">
        <w:rPr>
          <w:rFonts w:asciiTheme="majorBidi" w:hAnsiTheme="majorBidi" w:cstheme="majorBidi"/>
          <w:sz w:val="24"/>
          <w:szCs w:val="24"/>
        </w:rPr>
        <w:t>1026 (2019)</w:t>
      </w:r>
    </w:p>
    <w:p w:rsidR="0068225F" w:rsidP="0068225F">
      <w:pPr>
        <w:spacing w:line="480" w:lineRule="auto"/>
        <w:ind w:firstLine="720"/>
        <w:rPr>
          <w:rFonts w:asciiTheme="majorBidi" w:hAnsiTheme="majorBidi" w:cstheme="majorBidi"/>
          <w:sz w:val="24"/>
          <w:szCs w:val="24"/>
        </w:rPr>
      </w:pPr>
      <w:r>
        <w:rPr>
          <w:rFonts w:asciiTheme="majorBidi" w:hAnsiTheme="majorBidi" w:cstheme="majorBidi"/>
          <w:sz w:val="24"/>
          <w:szCs w:val="24"/>
        </w:rPr>
        <w:t>Introduction</w:t>
      </w:r>
    </w:p>
    <w:p w:rsidR="0068225F" w:rsidP="0068225F">
      <w:pPr>
        <w:spacing w:line="480" w:lineRule="auto"/>
        <w:ind w:firstLine="720"/>
        <w:rPr>
          <w:rFonts w:asciiTheme="majorBidi" w:hAnsiTheme="majorBidi" w:cstheme="majorBidi"/>
          <w:sz w:val="24"/>
          <w:szCs w:val="24"/>
        </w:rPr>
      </w:pPr>
      <w:r>
        <w:rPr>
          <w:rFonts w:asciiTheme="majorBidi" w:hAnsiTheme="majorBidi" w:cstheme="majorBidi"/>
          <w:sz w:val="24"/>
          <w:szCs w:val="24"/>
        </w:rPr>
        <w:t>The case involved Gilbert</w:t>
      </w:r>
      <w:r w:rsidR="00D3725D">
        <w:rPr>
          <w:rFonts w:asciiTheme="majorBidi" w:hAnsiTheme="majorBidi" w:cstheme="majorBidi"/>
          <w:sz w:val="24"/>
          <w:szCs w:val="24"/>
        </w:rPr>
        <w:t>o Garza</w:t>
      </w:r>
      <w:r>
        <w:rPr>
          <w:rFonts w:asciiTheme="majorBidi" w:hAnsiTheme="majorBidi" w:cstheme="majorBidi"/>
          <w:sz w:val="24"/>
          <w:szCs w:val="24"/>
        </w:rPr>
        <w:t xml:space="preserve"> Jnr who filled a petition before the Supreme Court seeking to </w:t>
      </w:r>
      <w:r w:rsidR="008F7E8A">
        <w:rPr>
          <w:rFonts w:asciiTheme="majorBidi" w:hAnsiTheme="majorBidi" w:cstheme="majorBidi"/>
          <w:sz w:val="24"/>
          <w:szCs w:val="24"/>
        </w:rPr>
        <w:t>compel the Appellate Court’s decision to hold that he had forfeited his right to appeal. Primarily, the application rose from the state criminal charges that the petition had faced before lower courts in the country. The petitioner wanted the Supreme Court to reverse the decision by the Court of Appeal that held that h</w:t>
      </w:r>
      <w:r w:rsidR="00653183">
        <w:rPr>
          <w:rFonts w:asciiTheme="majorBidi" w:hAnsiTheme="majorBidi" w:cstheme="majorBidi"/>
          <w:sz w:val="24"/>
          <w:szCs w:val="24"/>
        </w:rPr>
        <w:t>is attorney was not liable for his conviction after failing to file an appeal before the expiry of the stated duration. The case was argued on October 18, 2018, and the court announced its decision on February 27, 2019. 
</w:t>
      </w:r>
    </w:p>
    <w:p w:rsidR="0089747A" w:rsidP="00DC79C1">
      <w:pPr>
        <w:tabs>
          <w:tab w:val="left" w:pos="3690"/>
        </w:tabs>
        <w:spacing w:line="480" w:lineRule="auto"/>
        <w:ind w:firstLine="720"/>
        <w:rPr>
          <w:rFonts w:asciiTheme="majorBidi" w:hAnsiTheme="majorBidi" w:cstheme="majorBidi"/>
          <w:sz w:val="24"/>
          <w:szCs w:val="24"/>
        </w:rPr>
      </w:pPr>
      <w:r>
        <w:rPr>
          <w:rFonts w:asciiTheme="majorBidi" w:hAnsiTheme="majorBidi" w:cstheme="majorBidi"/>
          <w:sz w:val="24"/>
          <w:szCs w:val="24"/>
        </w:rPr>
        <w:t>Background of the Case</w:t>
      </w:r>
    </w:p>
    <w:p w:rsidR="00D3725D" w:rsidP="00DC79C1">
      <w:pPr>
        <w:tabs>
          <w:tab w:val="left" w:pos="3690"/>
        </w:tabs>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Gilberto Garza signed two pleas from the charges presented by the State of Idaho. The pleas presented a clause claiming that the petitioner had "waived his right to appeal." The trial court in Idaho admitted the pleas </w:t>
      </w:r>
      <w:r w:rsidR="00C54895">
        <w:rPr>
          <w:rFonts w:asciiTheme="majorBidi" w:hAnsiTheme="majorBidi" w:cstheme="majorBidi"/>
          <w:sz w:val="24"/>
          <w:szCs w:val="24"/>
        </w:rPr>
        <w:t>thus sentencing Garza based on the terms outlined in the agreement. However, Garza later informed his counsel that he wanted to appeal the decision of the court</w:t>
      </w:r>
      <w:r w:rsidR="0044546B">
        <w:rPr>
          <w:rFonts w:asciiTheme="majorBidi" w:hAnsiTheme="majorBidi" w:cstheme="majorBidi"/>
          <w:sz w:val="24"/>
          <w:szCs w:val="24"/>
        </w:rPr>
        <w:t xml:space="preserve">. He kept reminding his attorney of the decision to appeal through letters and phone calls. In fact, his attorney acknowledged receiving the letter and phone calls demanding he appeals the decision. </w:t>
      </w:r>
      <w:r w:rsidR="00331145">
        <w:rPr>
          <w:rFonts w:asciiTheme="majorBidi" w:hAnsiTheme="majorBidi" w:cstheme="majorBidi"/>
          <w:sz w:val="24"/>
          <w:szCs w:val="24"/>
        </w:rPr>
        <w:t xml:space="preserve">The attorney failed to file an appeal as directed by the petitioner. Instead, the </w:t>
      </w:r>
      <w:r w:rsidR="00113474">
        <w:rPr>
          <w:rFonts w:asciiTheme="majorBidi" w:hAnsiTheme="majorBidi" w:cstheme="majorBidi"/>
          <w:sz w:val="24"/>
          <w:szCs w:val="24"/>
        </w:rPr>
        <w:t>attorney kept describing the appeal process as “problematic” since the petitioner had waivered his right to appeal</w:t>
      </w:r>
      <w:r w:rsidR="00E91345">
        <w:rPr>
          <w:rFonts w:asciiTheme="majorBidi" w:hAnsiTheme="majorBidi" w:cstheme="majorBidi"/>
          <w:noProof/>
          <w:sz w:val="24"/>
          <w:szCs w:val="24"/>
        </w:rPr>
        <w:t xml:space="preserve"> </w:t>
      </w:r>
      <w:r w:rsidRPr="00E91345" w:rsidR="00E91345">
        <w:rPr>
          <w:rFonts w:asciiTheme="majorBidi" w:hAnsiTheme="majorBidi" w:cstheme="majorBidi"/>
          <w:i/>
          <w:iCs/>
          <w:noProof/>
          <w:sz w:val="24"/>
          <w:szCs w:val="24"/>
        </w:rPr>
        <w:t>Gilberto Garza Jr Petition v. Idaho</w:t>
      </w:r>
      <w:r w:rsidRPr="00E91345" w:rsidR="00E91345">
        <w:rPr>
          <w:rFonts w:asciiTheme="majorBidi" w:hAnsiTheme="majorBidi" w:cstheme="majorBidi"/>
          <w:noProof/>
          <w:sz w:val="24"/>
          <w:szCs w:val="24"/>
        </w:rPr>
        <w:t xml:space="preserve"> </w:t>
      </w:r>
      <w:r w:rsidR="00E91345">
        <w:rPr>
          <w:rFonts w:asciiTheme="majorBidi" w:hAnsiTheme="majorBidi" w:cstheme="majorBidi"/>
          <w:noProof/>
          <w:sz w:val="24"/>
          <w:szCs w:val="24"/>
        </w:rPr>
        <w:t>(</w:t>
      </w:r>
      <w:r w:rsidRPr="00E91345" w:rsidR="00E91345">
        <w:rPr>
          <w:rFonts w:asciiTheme="majorBidi" w:hAnsiTheme="majorBidi" w:cstheme="majorBidi"/>
          <w:noProof/>
          <w:sz w:val="24"/>
          <w:szCs w:val="24"/>
        </w:rPr>
        <w:t>2019)</w:t>
      </w:r>
      <w:r w:rsidR="00113474">
        <w:rPr>
          <w:rFonts w:asciiTheme="majorBidi" w:hAnsiTheme="majorBidi" w:cstheme="majorBidi"/>
          <w:sz w:val="24"/>
          <w:szCs w:val="24"/>
        </w:rPr>
        <w:t xml:space="preserve">. </w:t>
      </w:r>
      <w:r w:rsidR="00BC3455">
        <w:rPr>
          <w:rFonts w:asciiTheme="majorBidi" w:hAnsiTheme="majorBidi" w:cstheme="majorBidi"/>
          <w:sz w:val="24"/>
          <w:szCs w:val="24"/>
        </w:rPr>
        <w:t xml:space="preserve">As a result, the appeal period elapsed before Garza filed an appeal through his attorney. </w:t>
      </w:r>
    </w:p>
    <w:p w:rsidR="00187915" w:rsidP="00056ED4">
      <w:pPr>
        <w:tabs>
          <w:tab w:val="left" w:pos="3690"/>
        </w:tabs>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Garza then applied for post-conviction relief before the state court in Idaho. He based his primary claim for the application in the failure by his attorney to make an application for appeal despite him giving the notice. </w:t>
      </w:r>
      <w:r w:rsidR="00D54BBB">
        <w:rPr>
          <w:rFonts w:asciiTheme="majorBidi" w:hAnsiTheme="majorBidi" w:cstheme="majorBidi"/>
          <w:sz w:val="24"/>
          <w:szCs w:val="24"/>
        </w:rPr>
        <w:t xml:space="preserve">However, the Appellate Court in Idaho rejected his application for post-conviction relief, a decision </w:t>
      </w:r>
      <w:r w:rsidR="00056ED4">
        <w:rPr>
          <w:rFonts w:asciiTheme="majorBidi" w:hAnsiTheme="majorBidi" w:cstheme="majorBidi"/>
          <w:sz w:val="24"/>
          <w:szCs w:val="24"/>
        </w:rPr>
        <w:t xml:space="preserve">reversed </w:t>
      </w:r>
      <w:r w:rsidR="00D54BBB">
        <w:rPr>
          <w:rFonts w:asciiTheme="majorBidi" w:hAnsiTheme="majorBidi" w:cstheme="majorBidi"/>
          <w:sz w:val="24"/>
          <w:szCs w:val="24"/>
        </w:rPr>
        <w:t>by Idaho Supreme Court.</w:t>
      </w:r>
      <w:r>
        <w:rPr>
          <w:rFonts w:asciiTheme="majorBidi" w:hAnsiTheme="majorBidi" w:cstheme="majorBidi"/>
          <w:sz w:val="24"/>
          <w:szCs w:val="24"/>
        </w:rPr>
        <w:t xml:space="preserve"> In its </w:t>
      </w:r>
      <w:r>
        <w:rPr>
          <w:rFonts w:asciiTheme="majorBidi" w:hAnsiTheme="majorBidi" w:cstheme="majorBidi"/>
          <w:sz w:val="24"/>
          <w:szCs w:val="24"/>
        </w:rPr>
        <w:t xml:space="preserve">ruling, the Appellate Court argued that granting the petitioners request before the court would amount to breaching the two please he presented during the initial trial. Consequently, the court was convinced that he did not deserve post-conviction relief since he had waivered his right to appeal. </w:t>
      </w:r>
      <w:r w:rsidR="00056ED4">
        <w:rPr>
          <w:rFonts w:asciiTheme="majorBidi" w:hAnsiTheme="majorBidi" w:cstheme="majorBidi"/>
          <w:sz w:val="24"/>
          <w:szCs w:val="24"/>
        </w:rPr>
        <w:t>T</w:t>
      </w:r>
      <w:r w:rsidRPr="00056ED4" w:rsidR="00056ED4">
        <w:rPr>
          <w:rFonts w:asciiTheme="majorBidi" w:hAnsiTheme="majorBidi" w:cstheme="majorBidi"/>
          <w:sz w:val="24"/>
          <w:szCs w:val="24"/>
        </w:rPr>
        <w:t xml:space="preserve">he Appellate Court in Idaho stated that Garza failed to prove to the bench that there was a deficient performance on the side of his attorney which led to prejudice. Idaho Appellate Court argued that Garza needed to convince the court that his attorney showed prejudice by failing to file an appeal despite his directive. </w:t>
      </w:r>
      <w:r>
        <w:rPr>
          <w:rFonts w:asciiTheme="majorBidi" w:hAnsiTheme="majorBidi" w:cstheme="majorBidi"/>
          <w:sz w:val="24"/>
          <w:szCs w:val="24"/>
        </w:rPr>
        <w:t xml:space="preserve">Besides, his attorney did not act in prejudice since his application complicated the process of filing for an appeal. </w:t>
      </w:r>
      <w:r w:rsidR="00A4038C">
        <w:rPr>
          <w:rFonts w:asciiTheme="majorBidi" w:hAnsiTheme="majorBidi" w:cstheme="majorBidi"/>
          <w:sz w:val="24"/>
          <w:szCs w:val="24"/>
        </w:rPr>
        <w:t xml:space="preserve">The Supreme Court in Idaho </w:t>
      </w:r>
      <w:r w:rsidR="00431EC2">
        <w:rPr>
          <w:rFonts w:asciiTheme="majorBidi" w:hAnsiTheme="majorBidi" w:cstheme="majorBidi"/>
          <w:sz w:val="24"/>
          <w:szCs w:val="24"/>
        </w:rPr>
        <w:t xml:space="preserve">reversed </w:t>
      </w:r>
      <w:r w:rsidR="00A4038C">
        <w:rPr>
          <w:rFonts w:asciiTheme="majorBidi" w:hAnsiTheme="majorBidi" w:cstheme="majorBidi"/>
          <w:sz w:val="24"/>
          <w:szCs w:val="24"/>
        </w:rPr>
        <w:t>the ruling by the Appellate</w:t>
      </w:r>
      <w:r w:rsidR="00800901">
        <w:rPr>
          <w:rFonts w:asciiTheme="majorBidi" w:hAnsiTheme="majorBidi" w:cstheme="majorBidi"/>
          <w:sz w:val="24"/>
          <w:szCs w:val="24"/>
        </w:rPr>
        <w:t xml:space="preserve"> Court</w:t>
      </w:r>
      <w:r w:rsidR="00431EC2">
        <w:rPr>
          <w:rFonts w:asciiTheme="majorBidi" w:hAnsiTheme="majorBidi" w:cstheme="majorBidi"/>
          <w:sz w:val="24"/>
          <w:szCs w:val="24"/>
        </w:rPr>
        <w:t xml:space="preserve"> claiming it is not the responsibility </w:t>
      </w:r>
      <w:r w:rsidR="00056ED4">
        <w:rPr>
          <w:rFonts w:asciiTheme="majorBidi" w:hAnsiTheme="majorBidi" w:cstheme="majorBidi"/>
          <w:sz w:val="24"/>
          <w:szCs w:val="24"/>
        </w:rPr>
        <w:t>of the petitioner to develop a strong legal argument for his defense. Instead, his attorney must bear the responsibility and follow the directive by the client. 
</w:t>
      </w:r>
    </w:p>
    <w:p w:rsidR="00E91345" w:rsidP="00056ED4">
      <w:pPr>
        <w:tabs>
          <w:tab w:val="left" w:pos="3690"/>
        </w:tabs>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Reasoning </w:t>
      </w:r>
    </w:p>
    <w:p w:rsidR="00431EC2" w:rsidP="00431EC2">
      <w:pPr>
        <w:tabs>
          <w:tab w:val="left" w:pos="3690"/>
        </w:tabs>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The Supreme Court relied on several cases it had handled previous including </w:t>
      </w:r>
      <w:r w:rsidRPr="00431EC2">
        <w:rPr>
          <w:rFonts w:asciiTheme="majorBidi" w:hAnsiTheme="majorBidi" w:cstheme="majorBidi"/>
          <w:i/>
          <w:iCs/>
          <w:sz w:val="24"/>
          <w:szCs w:val="24"/>
        </w:rPr>
        <w:t xml:space="preserve">Roe v. Flores-Ortega, </w:t>
      </w:r>
      <w:r w:rsidRPr="00431EC2">
        <w:rPr>
          <w:rFonts w:asciiTheme="majorBidi" w:hAnsiTheme="majorBidi" w:cstheme="majorBidi"/>
          <w:sz w:val="24"/>
          <w:szCs w:val="24"/>
        </w:rPr>
        <w:t>528 U. S. 470</w:t>
      </w:r>
      <w:r>
        <w:rPr>
          <w:rFonts w:asciiTheme="majorBidi" w:hAnsiTheme="majorBidi" w:cstheme="majorBidi"/>
          <w:sz w:val="24"/>
          <w:szCs w:val="24"/>
        </w:rPr>
        <w:t xml:space="preserve">, and </w:t>
      </w:r>
      <w:r w:rsidRPr="00431EC2">
        <w:rPr>
          <w:rFonts w:asciiTheme="majorBidi" w:hAnsiTheme="majorBidi" w:cstheme="majorBidi"/>
          <w:i/>
          <w:iCs/>
          <w:sz w:val="24"/>
          <w:szCs w:val="24"/>
        </w:rPr>
        <w:t>Rodriquez v. United States</w:t>
      </w:r>
      <w:r w:rsidRPr="00431EC2">
        <w:rPr>
          <w:rFonts w:asciiTheme="majorBidi" w:hAnsiTheme="majorBidi" w:cstheme="majorBidi"/>
          <w:sz w:val="24"/>
          <w:szCs w:val="24"/>
        </w:rPr>
        <w:t>, 395 U. S. 327, 330.</w:t>
      </w:r>
      <w:r>
        <w:rPr>
          <w:rFonts w:asciiTheme="majorBidi" w:hAnsiTheme="majorBidi" w:cstheme="majorBidi"/>
          <w:sz w:val="24"/>
          <w:szCs w:val="24"/>
        </w:rPr>
        <w:t xml:space="preserve"> The precedents set in these ruling formed the foundation for the orders </w:t>
      </w:r>
      <w:r w:rsidR="006B1F27">
        <w:rPr>
          <w:rFonts w:asciiTheme="majorBidi" w:hAnsiTheme="majorBidi" w:cstheme="majorBidi"/>
          <w:sz w:val="24"/>
          <w:szCs w:val="24"/>
        </w:rPr>
        <w:t xml:space="preserve">by the court. Additionally, the court based its findings on the fundamental rights to fair hearing as stated in Sixth Amendments of the U.S. Constitution. </w:t>
      </w:r>
      <w:r w:rsidR="00F12C68">
        <w:rPr>
          <w:rFonts w:asciiTheme="majorBidi" w:hAnsiTheme="majorBidi" w:cstheme="majorBidi"/>
          <w:sz w:val="24"/>
          <w:szCs w:val="24"/>
        </w:rPr>
        <w:t>However, it is notable the opinion of the court reflects the position taken by the majority since there was also dissenting views of the court.</w:t>
      </w:r>
    </w:p>
    <w:p w:rsidR="00B62E6E" w:rsidP="00431EC2">
      <w:pPr>
        <w:tabs>
          <w:tab w:val="left" w:pos="3690"/>
        </w:tabs>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The court gave out various reasons that propelled them to reverse the position taken by the Appellate Court. Firstly, the </w:t>
      </w:r>
      <w:r w:rsidR="00D71489">
        <w:rPr>
          <w:rFonts w:asciiTheme="majorBidi" w:hAnsiTheme="majorBidi" w:cstheme="majorBidi"/>
          <w:sz w:val="24"/>
          <w:szCs w:val="24"/>
        </w:rPr>
        <w:t xml:space="preserve">bench observed that the court had previously ordered that the defendant presumed prejudice in circumstance arising from acts of omission or commission by his or her attorney. </w:t>
      </w:r>
      <w:r w:rsidR="00291C21">
        <w:rPr>
          <w:rFonts w:asciiTheme="majorBidi" w:hAnsiTheme="majorBidi" w:cstheme="majorBidi"/>
          <w:sz w:val="24"/>
          <w:szCs w:val="24"/>
        </w:rPr>
        <w:t xml:space="preserve">The case thus prompted the question of whether the same orders applied in circumstances where the failure by the attorney was occasioned by defender’s waiving his or her right plea on some grounds. </w:t>
      </w:r>
      <w:r w:rsidR="000D410E">
        <w:rPr>
          <w:rFonts w:asciiTheme="majorBidi" w:hAnsiTheme="majorBidi" w:cstheme="majorBidi"/>
          <w:sz w:val="24"/>
          <w:szCs w:val="24"/>
        </w:rPr>
        <w:t xml:space="preserve">The majority argued that the </w:t>
      </w:r>
      <w:r w:rsidR="000D410E">
        <w:rPr>
          <w:rFonts w:asciiTheme="majorBidi" w:hAnsiTheme="majorBidi" w:cstheme="majorBidi"/>
          <w:sz w:val="24"/>
          <w:szCs w:val="24"/>
        </w:rPr>
        <w:t xml:space="preserve">previous orders in </w:t>
      </w:r>
      <w:r w:rsidRPr="000D410E" w:rsidR="000D410E">
        <w:rPr>
          <w:rFonts w:asciiTheme="majorBidi" w:hAnsiTheme="majorBidi" w:cstheme="majorBidi"/>
          <w:i/>
          <w:iCs/>
          <w:sz w:val="24"/>
          <w:szCs w:val="24"/>
        </w:rPr>
        <w:t>Flores-Ortega</w:t>
      </w:r>
      <w:r w:rsidR="000D410E">
        <w:rPr>
          <w:rFonts w:asciiTheme="majorBidi" w:hAnsiTheme="majorBidi" w:cstheme="majorBidi"/>
          <w:i/>
          <w:iCs/>
          <w:sz w:val="24"/>
          <w:szCs w:val="24"/>
        </w:rPr>
        <w:t xml:space="preserve"> </w:t>
      </w:r>
      <w:r w:rsidR="000D410E">
        <w:rPr>
          <w:rFonts w:asciiTheme="majorBidi" w:hAnsiTheme="majorBidi" w:cstheme="majorBidi"/>
          <w:sz w:val="24"/>
          <w:szCs w:val="24"/>
        </w:rPr>
        <w:t>were applicable even in situations where the defender signed plea agreement wavering his or her rights to plea. Consequently, Garza would presume prejudice against his attorney after he failed to file an appeal as directed. 
</w:t>
      </w:r>
    </w:p>
    <w:p w:rsidR="001B41FE" w:rsidP="00C03AA7">
      <w:pPr>
        <w:tabs>
          <w:tab w:val="left" w:pos="3690"/>
        </w:tabs>
        <w:spacing w:line="480" w:lineRule="auto"/>
        <w:ind w:firstLine="720"/>
        <w:rPr>
          <w:rFonts w:asciiTheme="majorBidi" w:hAnsiTheme="majorBidi" w:cstheme="majorBidi"/>
          <w:sz w:val="24"/>
          <w:szCs w:val="24"/>
        </w:rPr>
      </w:pPr>
      <w:r>
        <w:rPr>
          <w:rFonts w:asciiTheme="majorBidi" w:hAnsiTheme="majorBidi" w:cstheme="majorBidi"/>
          <w:sz w:val="24"/>
          <w:szCs w:val="24"/>
        </w:rPr>
        <w:t>The Constitution through the Sixth Amendments guarantees individuals right to fair hearing in the judicial process. Further, the Amendments requires that a suspect is provided with a qualified counsel to assist him or her throughout the entire judicial process. The counsel thus has a res</w:t>
      </w:r>
      <w:r w:rsidR="005827B1">
        <w:rPr>
          <w:rFonts w:asciiTheme="majorBidi" w:hAnsiTheme="majorBidi" w:cstheme="majorBidi"/>
          <w:sz w:val="24"/>
          <w:szCs w:val="24"/>
        </w:rPr>
        <w:t>ponsibility to guide the defendant on the legal implication of all the decisions he or she makes before the court. Besides, the bench further argued that a defendant can claim ineffective assistance from his or her attorney if the cli</w:t>
      </w:r>
      <w:r w:rsidR="00025B6E">
        <w:rPr>
          <w:rFonts w:asciiTheme="majorBidi" w:hAnsiTheme="majorBidi" w:cstheme="majorBidi"/>
          <w:sz w:val="24"/>
          <w:szCs w:val="24"/>
        </w:rPr>
        <w:t>ent</w:t>
      </w:r>
      <w:r w:rsidR="00971BAA">
        <w:rPr>
          <w:rFonts w:asciiTheme="majorBidi" w:hAnsiTheme="majorBidi" w:cstheme="majorBidi"/>
          <w:sz w:val="24"/>
          <w:szCs w:val="24"/>
        </w:rPr>
        <w:t xml:space="preserve"> can prove that the counsel’s representation failed to meet “objective sta</w:t>
      </w:r>
      <w:r w:rsidR="00E91345">
        <w:rPr>
          <w:rFonts w:asciiTheme="majorBidi" w:hAnsiTheme="majorBidi" w:cstheme="majorBidi"/>
          <w:sz w:val="24"/>
          <w:szCs w:val="24"/>
        </w:rPr>
        <w:t>ndard of reasonableness</w:t>
      </w:r>
      <w:r w:rsidR="00971BAA">
        <w:rPr>
          <w:rFonts w:asciiTheme="majorBidi" w:hAnsiTheme="majorBidi" w:cstheme="majorBidi"/>
          <w:sz w:val="24"/>
          <w:szCs w:val="24"/>
        </w:rPr>
        <w:t>”</w:t>
      </w:r>
      <w:r w:rsidR="00C03AA7">
        <w:rPr>
          <w:rFonts w:asciiTheme="majorBidi" w:hAnsiTheme="majorBidi" w:cstheme="majorBidi"/>
          <w:noProof/>
          <w:sz w:val="24"/>
          <w:szCs w:val="24"/>
        </w:rPr>
        <w:t xml:space="preserve"> </w:t>
      </w:r>
      <w:r w:rsidRPr="00C03AA7" w:rsidR="00C03AA7">
        <w:rPr>
          <w:rFonts w:asciiTheme="majorBidi" w:hAnsiTheme="majorBidi" w:cstheme="majorBidi"/>
          <w:i/>
          <w:iCs/>
          <w:noProof/>
          <w:sz w:val="24"/>
          <w:szCs w:val="24"/>
        </w:rPr>
        <w:t>Gilberto</w:t>
      </w:r>
      <w:r w:rsidR="00C03AA7">
        <w:rPr>
          <w:rFonts w:asciiTheme="majorBidi" w:hAnsiTheme="majorBidi" w:cstheme="majorBidi"/>
          <w:noProof/>
          <w:sz w:val="24"/>
          <w:szCs w:val="24"/>
        </w:rPr>
        <w:t xml:space="preserve"> </w:t>
      </w:r>
      <w:r w:rsidRPr="00C03AA7" w:rsidR="00C03AA7">
        <w:rPr>
          <w:rFonts w:asciiTheme="majorBidi" w:hAnsiTheme="majorBidi" w:cstheme="majorBidi"/>
          <w:i/>
          <w:iCs/>
          <w:noProof/>
          <w:sz w:val="24"/>
          <w:szCs w:val="24"/>
        </w:rPr>
        <w:t>Garza Jr Petition v. Idaho</w:t>
      </w:r>
      <w:r w:rsidRPr="00C03AA7" w:rsidR="00C03AA7">
        <w:rPr>
          <w:rFonts w:asciiTheme="majorBidi" w:hAnsiTheme="majorBidi" w:cstheme="majorBidi"/>
          <w:noProof/>
          <w:sz w:val="24"/>
          <w:szCs w:val="24"/>
        </w:rPr>
        <w:t xml:space="preserve"> </w:t>
      </w:r>
      <w:r w:rsidR="00C03AA7">
        <w:rPr>
          <w:rFonts w:asciiTheme="majorBidi" w:hAnsiTheme="majorBidi" w:cstheme="majorBidi"/>
          <w:noProof/>
          <w:sz w:val="24"/>
          <w:szCs w:val="24"/>
        </w:rPr>
        <w:t>(</w:t>
      </w:r>
      <w:r w:rsidRPr="00C03AA7" w:rsidR="00C03AA7">
        <w:rPr>
          <w:rFonts w:asciiTheme="majorBidi" w:hAnsiTheme="majorBidi" w:cstheme="majorBidi"/>
          <w:noProof/>
          <w:sz w:val="24"/>
          <w:szCs w:val="24"/>
        </w:rPr>
        <w:t>2019)</w:t>
      </w:r>
      <w:r w:rsidR="00C03AA7">
        <w:rPr>
          <w:rFonts w:asciiTheme="majorBidi" w:hAnsiTheme="majorBidi" w:cstheme="majorBidi"/>
          <w:sz w:val="24"/>
          <w:szCs w:val="24"/>
        </w:rPr>
        <w:t>.</w:t>
      </w:r>
      <w:r w:rsidR="00971BAA">
        <w:rPr>
          <w:rFonts w:asciiTheme="majorBidi" w:hAnsiTheme="majorBidi" w:cstheme="majorBidi"/>
          <w:sz w:val="24"/>
          <w:szCs w:val="24"/>
        </w:rPr>
        <w:t xml:space="preserve"> Also, the defendant must prove that the </w:t>
      </w:r>
      <w:r w:rsidR="004009C0">
        <w:rPr>
          <w:rFonts w:asciiTheme="majorBidi" w:hAnsiTheme="majorBidi" w:cstheme="majorBidi"/>
          <w:sz w:val="24"/>
          <w:szCs w:val="24"/>
        </w:rPr>
        <w:t>counsel's ineffective resulted in adverse legal impact. In other words, the bench argued that Gilberto Garza had the rights to claim prejudice if the action by his attorney resulted in an adverse legal impact on his case.
</w:t>
      </w:r>
    </w:p>
    <w:p w:rsidR="00F12C68" w:rsidP="00431EC2">
      <w:pPr>
        <w:tabs>
          <w:tab w:val="left" w:pos="3690"/>
        </w:tabs>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 </w:t>
      </w:r>
      <w:r w:rsidR="001B41FE">
        <w:rPr>
          <w:rFonts w:asciiTheme="majorBidi" w:hAnsiTheme="majorBidi" w:cstheme="majorBidi"/>
          <w:sz w:val="24"/>
          <w:szCs w:val="24"/>
        </w:rPr>
        <w:t xml:space="preserve">However, the presumption of prejudice is automatic in events where the defendant was not granted access to counsel in a critical stage of his or her </w:t>
      </w:r>
      <w:r w:rsidR="009E4E0B">
        <w:rPr>
          <w:rFonts w:asciiTheme="majorBidi" w:hAnsiTheme="majorBidi" w:cstheme="majorBidi"/>
          <w:sz w:val="24"/>
          <w:szCs w:val="24"/>
        </w:rPr>
        <w:t xml:space="preserve">case. Additionally, the automatic presumption of prejudice takes place where </w:t>
      </w:r>
      <w:r w:rsidR="00421959">
        <w:rPr>
          <w:rFonts w:asciiTheme="majorBidi" w:hAnsiTheme="majorBidi" w:cstheme="majorBidi"/>
          <w:sz w:val="24"/>
          <w:szCs w:val="24"/>
        </w:rPr>
        <w:t xml:space="preserve">the attorney fails to execute the case to “meaningful adversarial </w:t>
      </w:r>
      <w:r w:rsidR="00AE1142">
        <w:rPr>
          <w:rFonts w:asciiTheme="majorBidi" w:hAnsiTheme="majorBidi" w:cstheme="majorBidi"/>
          <w:sz w:val="24"/>
          <w:szCs w:val="24"/>
        </w:rPr>
        <w:t>testing</w:t>
      </w:r>
      <w:r w:rsidR="00421959">
        <w:rPr>
          <w:rFonts w:asciiTheme="majorBidi" w:hAnsiTheme="majorBidi" w:cstheme="majorBidi"/>
          <w:sz w:val="24"/>
          <w:szCs w:val="24"/>
        </w:rPr>
        <w:t>”</w:t>
      </w:r>
      <w:sdt>
        <w:sdtPr>
          <w:rPr>
            <w:rFonts w:asciiTheme="majorBidi" w:hAnsiTheme="majorBidi" w:cstheme="majorBidi"/>
            <w:sz w:val="24"/>
            <w:szCs w:val="24"/>
          </w:rPr>
          <w:id w:val="-2070720630"/>
          <w:citation/>
        </w:sdtPr>
        <w:sdtContent>
          <w:r w:rsidR="00AE1142">
            <w:rPr>
              <w:rFonts w:asciiTheme="majorBidi" w:hAnsiTheme="majorBidi" w:cstheme="majorBidi"/>
              <w:sz w:val="24"/>
              <w:szCs w:val="24"/>
            </w:rPr>
            <w:fldChar w:fldCharType="begin"/>
          </w:r>
          <w:r w:rsidR="00AE1142">
            <w:rPr>
              <w:rFonts w:asciiTheme="majorBidi" w:hAnsiTheme="majorBidi" w:cstheme="majorBidi"/>
              <w:sz w:val="24"/>
              <w:szCs w:val="24"/>
            </w:rPr>
            <w:instrText xml:space="preserve"> CITATION 19Th \l 1033 </w:instrText>
          </w:r>
          <w:r w:rsidR="00AE1142">
            <w:rPr>
              <w:rFonts w:asciiTheme="majorBidi" w:hAnsiTheme="majorBidi" w:cstheme="majorBidi"/>
              <w:sz w:val="24"/>
              <w:szCs w:val="24"/>
            </w:rPr>
            <w:fldChar w:fldCharType="separate"/>
          </w:r>
          <w:r w:rsidR="00AE1142">
            <w:rPr>
              <w:rFonts w:asciiTheme="majorBidi" w:hAnsiTheme="majorBidi" w:cstheme="majorBidi"/>
              <w:noProof/>
              <w:sz w:val="24"/>
              <w:szCs w:val="24"/>
            </w:rPr>
            <w:t xml:space="preserve"> </w:t>
          </w:r>
          <w:r w:rsidRPr="00AE1142" w:rsidR="00AE1142">
            <w:rPr>
              <w:rFonts w:asciiTheme="majorBidi" w:hAnsiTheme="majorBidi" w:cstheme="majorBidi"/>
              <w:noProof/>
              <w:sz w:val="24"/>
              <w:szCs w:val="24"/>
            </w:rPr>
            <w:t>(Gilberto Garza Jr Petition v. Idaho, 2019)</w:t>
          </w:r>
          <w:r w:rsidR="00AE1142">
            <w:rPr>
              <w:rFonts w:asciiTheme="majorBidi" w:hAnsiTheme="majorBidi" w:cstheme="majorBidi"/>
              <w:sz w:val="24"/>
              <w:szCs w:val="24"/>
            </w:rPr>
            <w:fldChar w:fldCharType="end"/>
          </w:r>
        </w:sdtContent>
      </w:sdt>
      <w:r w:rsidR="00AE1142">
        <w:rPr>
          <w:rFonts w:asciiTheme="majorBidi" w:hAnsiTheme="majorBidi" w:cstheme="majorBidi"/>
          <w:sz w:val="24"/>
          <w:szCs w:val="24"/>
        </w:rPr>
        <w:t>.</w:t>
      </w:r>
      <w:r w:rsidR="00421959">
        <w:rPr>
          <w:rFonts w:asciiTheme="majorBidi" w:hAnsiTheme="majorBidi" w:cstheme="majorBidi"/>
          <w:sz w:val="24"/>
          <w:szCs w:val="24"/>
        </w:rPr>
        <w:t xml:space="preserve"> </w:t>
      </w:r>
      <w:r w:rsidR="008752A7">
        <w:rPr>
          <w:rFonts w:asciiTheme="majorBidi" w:hAnsiTheme="majorBidi" w:cstheme="majorBidi"/>
          <w:sz w:val="24"/>
          <w:szCs w:val="24"/>
        </w:rPr>
        <w:t xml:space="preserve">Also, the court observed that presumption of prejudice occurs in circumstances where the counsel’s deficiency or poor performance denied a defendant an opportunity to appeal. In essence, the judges used both the court’s precedence and the Sixth Amendment on the rights of accused to establish the circumstances under which an individual presume prejudice. </w:t>
      </w:r>
      <w:r w:rsidR="008D6E2E">
        <w:rPr>
          <w:rFonts w:asciiTheme="majorBidi" w:hAnsiTheme="majorBidi" w:cstheme="majorBidi"/>
          <w:sz w:val="24"/>
          <w:szCs w:val="24"/>
        </w:rPr>
        <w:t xml:space="preserve">The Court thus ruled that Garza’s attorney was responsible for his missing of an opportunity to appeal the decision provided by Idaho state court. Consequently, the presumption of prejudice applied in the case of Garza </w:t>
      </w:r>
      <w:r w:rsidR="00373C0B">
        <w:rPr>
          <w:rFonts w:asciiTheme="majorBidi" w:hAnsiTheme="majorBidi" w:cstheme="majorBidi"/>
          <w:sz w:val="24"/>
          <w:szCs w:val="24"/>
        </w:rPr>
        <w:t xml:space="preserve">despite the fact he assented to appeal waiver. </w:t>
      </w:r>
    </w:p>
    <w:p w:rsidR="00373C0B" w:rsidP="00431EC2">
      <w:pPr>
        <w:tabs>
          <w:tab w:val="left" w:pos="3690"/>
        </w:tabs>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It is also notable that the court relied on the definition of ‘appeal waiver” in making their determination of the case. The bench </w:t>
      </w:r>
      <w:r w:rsidR="00C81BE8">
        <w:rPr>
          <w:rFonts w:asciiTheme="majorBidi" w:hAnsiTheme="majorBidi" w:cstheme="majorBidi"/>
          <w:sz w:val="24"/>
          <w:szCs w:val="24"/>
        </w:rPr>
        <w:t xml:space="preserve">observed that ‘appeal waiver" does not take away all the rights to file an appeal against the ruling of any court. An "appeal waiver" is thus valid only when </w:t>
      </w:r>
      <w:r w:rsidR="00B4701D">
        <w:rPr>
          <w:rFonts w:asciiTheme="majorBidi" w:hAnsiTheme="majorBidi" w:cstheme="majorBidi"/>
          <w:sz w:val="24"/>
          <w:szCs w:val="24"/>
        </w:rPr>
        <w:t xml:space="preserve">it “precludes challenges within its scope.” However, the waiver does </w:t>
      </w:r>
      <w:r w:rsidR="00202C93">
        <w:rPr>
          <w:rFonts w:asciiTheme="majorBidi" w:hAnsiTheme="majorBidi" w:cstheme="majorBidi"/>
          <w:sz w:val="24"/>
          <w:szCs w:val="24"/>
        </w:rPr>
        <w:t xml:space="preserve">not </w:t>
      </w:r>
      <w:r w:rsidR="00B4701D">
        <w:rPr>
          <w:rFonts w:asciiTheme="majorBidi" w:hAnsiTheme="majorBidi" w:cstheme="majorBidi"/>
          <w:sz w:val="24"/>
          <w:szCs w:val="24"/>
        </w:rPr>
        <w:t xml:space="preserve">prevent the defendant from filing an appeal </w:t>
      </w:r>
      <w:r w:rsidR="00202C93">
        <w:rPr>
          <w:rFonts w:asciiTheme="majorBidi" w:hAnsiTheme="majorBidi" w:cstheme="majorBidi"/>
          <w:sz w:val="24"/>
          <w:szCs w:val="24"/>
        </w:rPr>
        <w:t xml:space="preserve">in courts outside its scope. Besides, the courts have set precedents where defendants are allowed to challenge the waiver </w:t>
      </w:r>
      <w:r w:rsidR="000B3C26">
        <w:rPr>
          <w:rFonts w:asciiTheme="majorBidi" w:hAnsiTheme="majorBidi" w:cstheme="majorBidi"/>
          <w:sz w:val="24"/>
          <w:szCs w:val="24"/>
        </w:rPr>
        <w:t xml:space="preserve">on the grounds that it was signed from an informed perspective or unknowingly. It is upon the counsel to evaluate the merits and demerits and make an appropriate decision. The court used this approach in establishing whether Garza's attorney </w:t>
      </w:r>
      <w:r w:rsidR="0098103C">
        <w:rPr>
          <w:rFonts w:asciiTheme="majorBidi" w:hAnsiTheme="majorBidi" w:cstheme="majorBidi"/>
          <w:sz w:val="24"/>
          <w:szCs w:val="24"/>
        </w:rPr>
        <w:t xml:space="preserve">action directly contributed to adverse legal impact on his case. </w:t>
      </w:r>
    </w:p>
    <w:p w:rsidR="0098103C" w:rsidP="00431EC2">
      <w:pPr>
        <w:tabs>
          <w:tab w:val="left" w:pos="3690"/>
        </w:tabs>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The court further looks into the impact of a counsel failing to file an appeal on the client. Appeals usually have a window period </w:t>
      </w:r>
      <w:r w:rsidR="008A18AD">
        <w:rPr>
          <w:rFonts w:asciiTheme="majorBidi" w:hAnsiTheme="majorBidi" w:cstheme="majorBidi"/>
          <w:sz w:val="24"/>
          <w:szCs w:val="24"/>
        </w:rPr>
        <w:t>set by the courts while making their rulings, usually 42 days</w:t>
      </w:r>
      <w:r w:rsidR="00B84CDC">
        <w:rPr>
          <w:rFonts w:asciiTheme="majorBidi" w:hAnsiTheme="majorBidi" w:cstheme="majorBidi"/>
          <w:sz w:val="24"/>
          <w:szCs w:val="24"/>
        </w:rPr>
        <w:t xml:space="preserve"> in Idaho</w:t>
      </w:r>
      <w:r w:rsidR="008A18AD">
        <w:rPr>
          <w:rFonts w:asciiTheme="majorBidi" w:hAnsiTheme="majorBidi" w:cstheme="majorBidi"/>
          <w:sz w:val="24"/>
          <w:szCs w:val="24"/>
        </w:rPr>
        <w:t>. The counsel is thus responsible for giving n</w:t>
      </w:r>
      <w:r w:rsidR="00D42D40">
        <w:rPr>
          <w:rFonts w:asciiTheme="majorBidi" w:hAnsiTheme="majorBidi" w:cstheme="majorBidi"/>
          <w:sz w:val="24"/>
          <w:szCs w:val="24"/>
        </w:rPr>
        <w:t xml:space="preserve">otice of appeal after receiving communication from the client before the elapse of the window. Otherwise, they lose the right to challenge the orders provided by the court. </w:t>
      </w:r>
      <w:r w:rsidR="00B84CDC">
        <w:rPr>
          <w:rFonts w:asciiTheme="majorBidi" w:hAnsiTheme="majorBidi" w:cstheme="majorBidi"/>
          <w:sz w:val="24"/>
          <w:szCs w:val="24"/>
        </w:rPr>
        <w:t>Moreover, the court observed that filing an appeal notice help in separating the roles by the defendant and their counsel. The defendants enjoy the authority to make an appeal notice before the court. On the other hand, the attorney has a responsibility to develop a solid argument to help the client win the case. In this context, Garza had the authority to file an appeal before the Appellate Court t</w:t>
      </w:r>
      <w:r w:rsidR="00A85BD9">
        <w:rPr>
          <w:rFonts w:asciiTheme="majorBidi" w:hAnsiTheme="majorBidi" w:cstheme="majorBidi"/>
          <w:sz w:val="24"/>
          <w:szCs w:val="24"/>
        </w:rPr>
        <w:t xml:space="preserve">hrough his attorney. However, the counsel had the sole responsibility of preparing the argument before the court. </w:t>
      </w:r>
      <w:r w:rsidR="009159E2">
        <w:rPr>
          <w:rFonts w:asciiTheme="majorBidi" w:hAnsiTheme="majorBidi" w:cstheme="majorBidi"/>
          <w:sz w:val="24"/>
          <w:szCs w:val="24"/>
        </w:rPr>
        <w:t xml:space="preserve">Filing an appeal before a court of law is a simple process that does not require legal expertise. In fact, Gilberto Garza had the capacity to file appeal notice before the elapse of the window period without relying on his attorney. </w:t>
      </w:r>
    </w:p>
    <w:p w:rsidR="00AE4955" w:rsidP="00431EC2">
      <w:pPr>
        <w:tabs>
          <w:tab w:val="left" w:pos="3690"/>
        </w:tabs>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The application by Gilberto before the Supreme Court was not the only case of that nature to be brought before the bench. In fact, the Supreme Court has handled several similar </w:t>
      </w:r>
      <w:r>
        <w:rPr>
          <w:rFonts w:asciiTheme="majorBidi" w:hAnsiTheme="majorBidi" w:cstheme="majorBidi"/>
          <w:sz w:val="24"/>
          <w:szCs w:val="24"/>
        </w:rPr>
        <w:t xml:space="preserve">cases of that nature including </w:t>
      </w:r>
      <w:r w:rsidRPr="002114C7" w:rsidR="002114C7">
        <w:rPr>
          <w:rFonts w:asciiTheme="majorBidi" w:hAnsiTheme="majorBidi" w:cstheme="majorBidi"/>
          <w:i/>
          <w:iCs/>
          <w:sz w:val="24"/>
          <w:szCs w:val="24"/>
        </w:rPr>
        <w:t>Roe v. Flores-Ortega</w:t>
      </w:r>
      <w:r w:rsidRPr="002114C7" w:rsidR="002114C7">
        <w:rPr>
          <w:rFonts w:asciiTheme="majorBidi" w:hAnsiTheme="majorBidi" w:cstheme="majorBidi"/>
          <w:sz w:val="24"/>
          <w:szCs w:val="24"/>
        </w:rPr>
        <w:t>, 528 U. S. 470</w:t>
      </w:r>
      <w:r w:rsidR="002114C7">
        <w:rPr>
          <w:rFonts w:asciiTheme="majorBidi" w:hAnsiTheme="majorBidi" w:cstheme="majorBidi"/>
          <w:sz w:val="24"/>
          <w:szCs w:val="24"/>
        </w:rPr>
        <w:t xml:space="preserve"> (2000). </w:t>
      </w:r>
      <w:r w:rsidR="00C80D56">
        <w:rPr>
          <w:rFonts w:asciiTheme="majorBidi" w:hAnsiTheme="majorBidi" w:cstheme="majorBidi"/>
          <w:sz w:val="24"/>
          <w:szCs w:val="24"/>
        </w:rPr>
        <w:t xml:space="preserve">In this case, Flores-Ortega was charged with second-degree murder he pleaded guilty of the offense. During sentence, the judge granted Flores a sixty-day window to file an appeal. Flores the notified his attorney to make an application notice on his behalf. However, the counsel failed to act on the directive until the duration expired. </w:t>
      </w:r>
      <w:r w:rsidR="00FB1A11">
        <w:rPr>
          <w:rFonts w:asciiTheme="majorBidi" w:hAnsiTheme="majorBidi" w:cstheme="majorBidi"/>
          <w:sz w:val="24"/>
          <w:szCs w:val="24"/>
        </w:rPr>
        <w:t xml:space="preserve">Subsequently, Flores attempts to file an application for appeal the ruling was rejected by the court since it was brought after the expiry of the window period. Flores then </w:t>
      </w:r>
      <w:r w:rsidR="00F5669C">
        <w:rPr>
          <w:rFonts w:asciiTheme="majorBidi" w:hAnsiTheme="majorBidi" w:cstheme="majorBidi"/>
          <w:sz w:val="24"/>
          <w:szCs w:val="24"/>
        </w:rPr>
        <w:t>made an application for habeas petition claiming his counsel fail</w:t>
      </w:r>
      <w:r w:rsidR="00DC658C">
        <w:rPr>
          <w:rFonts w:asciiTheme="majorBidi" w:hAnsiTheme="majorBidi" w:cstheme="majorBidi"/>
          <w:sz w:val="24"/>
          <w:szCs w:val="24"/>
        </w:rPr>
        <w:t xml:space="preserve">ed to represent him effectively by failing to make the application in time as directed. The District rejected his application </w:t>
      </w:r>
      <w:r w:rsidR="00480EAB">
        <w:rPr>
          <w:rFonts w:asciiTheme="majorBidi" w:hAnsiTheme="majorBidi" w:cstheme="majorBidi"/>
          <w:sz w:val="24"/>
          <w:szCs w:val="24"/>
        </w:rPr>
        <w:t xml:space="preserve">and denied him the relief. He then appealed the decision in the Ninth Circuit of Appellate Court </w:t>
      </w:r>
      <w:r w:rsidR="00733EA9">
        <w:rPr>
          <w:rFonts w:asciiTheme="majorBidi" w:hAnsiTheme="majorBidi" w:cstheme="majorBidi"/>
          <w:sz w:val="24"/>
          <w:szCs w:val="24"/>
        </w:rPr>
        <w:t xml:space="preserve">which reversed the decision of the lower court. </w:t>
      </w:r>
      <w:r w:rsidR="00C76615">
        <w:rPr>
          <w:rFonts w:asciiTheme="majorBidi" w:hAnsiTheme="majorBidi" w:cstheme="majorBidi"/>
          <w:sz w:val="24"/>
          <w:szCs w:val="24"/>
        </w:rPr>
        <w:t>The court observed that in habeas petition a person only needs to prove that the act of omission or commission by one’s counsel had a legal impact on his or he case.</w:t>
      </w:r>
      <w:r w:rsidR="00A41EF8">
        <w:rPr>
          <w:rFonts w:asciiTheme="majorBidi" w:hAnsiTheme="majorBidi" w:cstheme="majorBidi"/>
          <w:sz w:val="24"/>
          <w:szCs w:val="24"/>
        </w:rPr>
        <w:t xml:space="preserve"> The Supreme relied on this precedent while handling the case </w:t>
      </w:r>
      <w:r w:rsidRPr="00A41EF8" w:rsidR="00A41EF8">
        <w:rPr>
          <w:rFonts w:asciiTheme="majorBidi" w:hAnsiTheme="majorBidi" w:cstheme="majorBidi"/>
          <w:i/>
          <w:iCs/>
          <w:sz w:val="24"/>
          <w:szCs w:val="24"/>
        </w:rPr>
        <w:t>Garza v. Idaho</w:t>
      </w:r>
      <w:r w:rsidR="00A41EF8">
        <w:rPr>
          <w:rFonts w:asciiTheme="majorBidi" w:hAnsiTheme="majorBidi" w:cstheme="majorBidi"/>
          <w:sz w:val="24"/>
          <w:szCs w:val="24"/>
        </w:rPr>
        <w:t xml:space="preserve">. </w:t>
      </w:r>
    </w:p>
    <w:p w:rsidR="00391157" w:rsidP="00AB517F">
      <w:pPr>
        <w:tabs>
          <w:tab w:val="left" w:pos="3690"/>
        </w:tabs>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The ruling by the Supreme Court in the case </w:t>
      </w:r>
      <w:r w:rsidRPr="00391157">
        <w:rPr>
          <w:rFonts w:asciiTheme="majorBidi" w:hAnsiTheme="majorBidi" w:cstheme="majorBidi"/>
          <w:i/>
          <w:iCs/>
          <w:sz w:val="24"/>
          <w:szCs w:val="24"/>
        </w:rPr>
        <w:t>Garza v. Idaho</w:t>
      </w:r>
      <w:r>
        <w:rPr>
          <w:rFonts w:asciiTheme="majorBidi" w:hAnsiTheme="majorBidi" w:cstheme="majorBidi"/>
          <w:sz w:val="24"/>
          <w:szCs w:val="24"/>
        </w:rPr>
        <w:t xml:space="preserve"> (2019)</w:t>
      </w:r>
      <w:r w:rsidR="00FD0F54">
        <w:rPr>
          <w:rFonts w:asciiTheme="majorBidi" w:hAnsiTheme="majorBidi" w:cstheme="majorBidi"/>
          <w:sz w:val="24"/>
          <w:szCs w:val="24"/>
        </w:rPr>
        <w:t xml:space="preserve"> has an extensive implication on the relationship between the counsel and their clients. Additionally, </w:t>
      </w:r>
      <w:r w:rsidR="00797DB7">
        <w:rPr>
          <w:rFonts w:asciiTheme="majorBidi" w:hAnsiTheme="majorBidi" w:cstheme="majorBidi"/>
          <w:sz w:val="24"/>
          <w:szCs w:val="24"/>
        </w:rPr>
        <w:t xml:space="preserve">it sets a critical precedent usable by lower courts when determining the circumstance where individuals can claim post-conviction when their attorneys fail to represent them effectively. One of the observations of the court is that presumption of prejudices is applicable where the defendant proves before the court he or she was insufficiently represented. Besides, </w:t>
      </w:r>
      <w:r w:rsidR="00142E66">
        <w:rPr>
          <w:rFonts w:asciiTheme="majorBidi" w:hAnsiTheme="majorBidi" w:cstheme="majorBidi"/>
          <w:sz w:val="24"/>
          <w:szCs w:val="24"/>
        </w:rPr>
        <w:t>the bench noted that individual rights to appeal ca</w:t>
      </w:r>
      <w:r w:rsidR="005147D3">
        <w:rPr>
          <w:rFonts w:asciiTheme="majorBidi" w:hAnsiTheme="majorBidi" w:cstheme="majorBidi"/>
          <w:sz w:val="24"/>
          <w:szCs w:val="24"/>
        </w:rPr>
        <w:t xml:space="preserve">nnot be denied on the grounds of waiver. In fact, the judges note that ‘appeal waivers" are not monolithic and is only enforceable when </w:t>
      </w:r>
      <w:r w:rsidR="00B54299">
        <w:rPr>
          <w:rFonts w:asciiTheme="majorBidi" w:hAnsiTheme="majorBidi" w:cstheme="majorBidi"/>
          <w:sz w:val="24"/>
          <w:szCs w:val="24"/>
        </w:rPr>
        <w:t xml:space="preserve">it has a reasonable scope. These observations by the bench will have a long-term implication on </w:t>
      </w:r>
      <w:r w:rsidR="00726DB7">
        <w:rPr>
          <w:rFonts w:asciiTheme="majorBidi" w:hAnsiTheme="majorBidi" w:cstheme="majorBidi"/>
          <w:sz w:val="24"/>
          <w:szCs w:val="24"/>
        </w:rPr>
        <w:t>current and future cases. F</w:t>
      </w:r>
      <w:r w:rsidR="005A530E">
        <w:rPr>
          <w:rFonts w:asciiTheme="majorBidi" w:hAnsiTheme="majorBidi" w:cstheme="majorBidi"/>
          <w:sz w:val="24"/>
          <w:szCs w:val="24"/>
        </w:rPr>
        <w:t xml:space="preserve">or example, the ruling by the </w:t>
      </w:r>
      <w:r w:rsidR="00726DB7">
        <w:rPr>
          <w:rFonts w:asciiTheme="majorBidi" w:hAnsiTheme="majorBidi" w:cstheme="majorBidi"/>
          <w:sz w:val="24"/>
          <w:szCs w:val="24"/>
        </w:rPr>
        <w:t>court can be used as a precedent by individuals wh</w:t>
      </w:r>
      <w:r w:rsidR="005A530E">
        <w:rPr>
          <w:rFonts w:asciiTheme="majorBidi" w:hAnsiTheme="majorBidi" w:cstheme="majorBidi"/>
          <w:sz w:val="24"/>
          <w:szCs w:val="24"/>
        </w:rPr>
        <w:t>o</w:t>
      </w:r>
      <w:r w:rsidR="00726DB7">
        <w:rPr>
          <w:rFonts w:asciiTheme="majorBidi" w:hAnsiTheme="majorBidi" w:cstheme="majorBidi"/>
          <w:sz w:val="24"/>
          <w:szCs w:val="24"/>
        </w:rPr>
        <w:t xml:space="preserve"> feel their attorney did not </w:t>
      </w:r>
      <w:r w:rsidR="005A530E">
        <w:rPr>
          <w:rFonts w:asciiTheme="majorBidi" w:hAnsiTheme="majorBidi" w:cstheme="majorBidi"/>
          <w:sz w:val="24"/>
          <w:szCs w:val="24"/>
        </w:rPr>
        <w:t xml:space="preserve">represent them effectively to seek an appeal for </w:t>
      </w:r>
      <w:r w:rsidR="005A530E">
        <w:rPr>
          <w:rFonts w:asciiTheme="majorBidi" w:hAnsiTheme="majorBidi" w:cstheme="majorBidi"/>
          <w:sz w:val="24"/>
          <w:szCs w:val="24"/>
        </w:rPr>
        <w:t xml:space="preserve">their cases. Besides, </w:t>
      </w:r>
      <w:r w:rsidR="00145F06">
        <w:rPr>
          <w:rFonts w:asciiTheme="majorBidi" w:hAnsiTheme="majorBidi" w:cstheme="majorBidi"/>
          <w:sz w:val="24"/>
          <w:szCs w:val="24"/>
        </w:rPr>
        <w:t xml:space="preserve">the findings of the court empathize on the roles of counsels when it comes to charging the duties effectively, especially following the directives from the clients. </w:t>
      </w:r>
    </w:p>
    <w:p w:rsidR="00145F06" w:rsidP="00AB517F">
      <w:pPr>
        <w:tabs>
          <w:tab w:val="left" w:pos="3690"/>
        </w:tabs>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I agree with the ruling of the court based on existing constitutional requirements set by both Appellate Court and Supreme Court. </w:t>
      </w:r>
      <w:r w:rsidR="008B481D">
        <w:rPr>
          <w:rFonts w:asciiTheme="majorBidi" w:hAnsiTheme="majorBidi" w:cstheme="majorBidi"/>
          <w:sz w:val="24"/>
          <w:szCs w:val="24"/>
        </w:rPr>
        <w:t xml:space="preserve">The Sixth Amendment of the Constitution grants a right to fair judicial process for any individual suspected of </w:t>
      </w:r>
      <w:r w:rsidR="00675FC6">
        <w:rPr>
          <w:rFonts w:asciiTheme="majorBidi" w:hAnsiTheme="majorBidi" w:cstheme="majorBidi"/>
          <w:sz w:val="24"/>
          <w:szCs w:val="24"/>
        </w:rPr>
        <w:t xml:space="preserve">committing a crime. A fair hearing requires that a person receives quality defense from their attorney. </w:t>
      </w:r>
      <w:r w:rsidR="00E17EBF">
        <w:rPr>
          <w:rFonts w:asciiTheme="majorBidi" w:hAnsiTheme="majorBidi" w:cstheme="majorBidi"/>
          <w:sz w:val="24"/>
          <w:szCs w:val="24"/>
        </w:rPr>
        <w:t xml:space="preserve">Substandard representation in the court of law exposes one to unfair trial since the bench is likely not to get the actual facts surrounding the incident. </w:t>
      </w:r>
      <w:r w:rsidR="00932AA4">
        <w:rPr>
          <w:rFonts w:asciiTheme="majorBidi" w:hAnsiTheme="majorBidi" w:cstheme="majorBidi"/>
          <w:sz w:val="24"/>
          <w:szCs w:val="24"/>
        </w:rPr>
        <w:t>Consequently, the chances if unfair imprisonment increases thus adversely impacting the primary purpose of the justice system. 
</w:t>
      </w:r>
    </w:p>
    <w:p w:rsidR="008C2291" w:rsidP="00AB517F">
      <w:pPr>
        <w:tabs>
          <w:tab w:val="left" w:pos="3690"/>
        </w:tabs>
        <w:spacing w:line="480" w:lineRule="auto"/>
        <w:ind w:firstLine="720"/>
        <w:rPr>
          <w:rFonts w:asciiTheme="majorBidi" w:hAnsiTheme="majorBidi" w:cstheme="majorBidi"/>
          <w:sz w:val="24"/>
          <w:szCs w:val="24"/>
        </w:rPr>
      </w:pPr>
      <w:r>
        <w:rPr>
          <w:rFonts w:asciiTheme="majorBidi" w:hAnsiTheme="majorBidi" w:cstheme="majorBidi"/>
          <w:sz w:val="24"/>
          <w:szCs w:val="24"/>
        </w:rPr>
        <w:t>The decis</w:t>
      </w:r>
      <w:r w:rsidR="00102313">
        <w:rPr>
          <w:rFonts w:asciiTheme="majorBidi" w:hAnsiTheme="majorBidi" w:cstheme="majorBidi"/>
          <w:sz w:val="24"/>
          <w:szCs w:val="24"/>
        </w:rPr>
        <w:t xml:space="preserve">ion of the court to reverse the ruling of the Appellate Court </w:t>
      </w:r>
      <w:r w:rsidR="00D03005">
        <w:rPr>
          <w:rFonts w:asciiTheme="majorBidi" w:hAnsiTheme="majorBidi" w:cstheme="majorBidi"/>
          <w:sz w:val="24"/>
          <w:szCs w:val="24"/>
        </w:rPr>
        <w:t xml:space="preserve">concerning the rights of the petitioner to file </w:t>
      </w:r>
      <w:r w:rsidR="00DD5475">
        <w:rPr>
          <w:rFonts w:asciiTheme="majorBidi" w:hAnsiTheme="majorBidi" w:cstheme="majorBidi"/>
          <w:sz w:val="24"/>
          <w:szCs w:val="24"/>
        </w:rPr>
        <w:t xml:space="preserve">an appeal despite the expiry of the window provided by the state court is commendable. Firstly, it must be noted that Garza is layman </w:t>
      </w:r>
      <w:r w:rsidR="00651D3D">
        <w:rPr>
          <w:rFonts w:asciiTheme="majorBidi" w:hAnsiTheme="majorBidi" w:cstheme="majorBidi"/>
          <w:sz w:val="24"/>
          <w:szCs w:val="24"/>
        </w:rPr>
        <w:t>and relied on his attorney to file the petition and prepare a solid argument in his favor. However, the counsel failed in his responsibility t</w:t>
      </w:r>
      <w:r w:rsidR="00F61676">
        <w:rPr>
          <w:rFonts w:asciiTheme="majorBidi" w:hAnsiTheme="majorBidi" w:cstheme="majorBidi"/>
          <w:sz w:val="24"/>
          <w:szCs w:val="24"/>
        </w:rPr>
        <w:t xml:space="preserve">o notify the court with the window period. Consequently, the petitioner suffered legal consequences that would otherwise be avoided. In essence, the action by his counsel not file appeal as directed limited his chances of accessing justice. Besides, the court has pronounced that "appeal waiver" is not monolithic and cannot be used as a ground to </w:t>
      </w:r>
      <w:r w:rsidR="00A32118">
        <w:rPr>
          <w:rFonts w:asciiTheme="majorBidi" w:hAnsiTheme="majorBidi" w:cstheme="majorBidi"/>
          <w:sz w:val="24"/>
          <w:szCs w:val="24"/>
        </w:rPr>
        <w:t>deny a person access to justice. Additionally, the ruling imp</w:t>
      </w:r>
      <w:r w:rsidR="00D457FE">
        <w:rPr>
          <w:rFonts w:asciiTheme="majorBidi" w:hAnsiTheme="majorBidi" w:cstheme="majorBidi"/>
          <w:sz w:val="24"/>
          <w:szCs w:val="24"/>
        </w:rPr>
        <w:t>lies that individuals can no longer be held “hostage” by incompetent counsel.</w:t>
      </w:r>
    </w:p>
    <w:p w:rsidR="00D457FE" w:rsidP="00303257">
      <w:pPr>
        <w:tabs>
          <w:tab w:val="left" w:pos="3690"/>
        </w:tabs>
        <w:spacing w:line="480" w:lineRule="auto"/>
        <w:ind w:firstLine="720"/>
        <w:rPr>
          <w:rFonts w:asciiTheme="majorBidi" w:hAnsiTheme="majorBidi" w:cstheme="majorBidi"/>
          <w:sz w:val="24"/>
          <w:szCs w:val="24"/>
        </w:rPr>
      </w:pPr>
      <w:r>
        <w:rPr>
          <w:rFonts w:asciiTheme="majorBidi" w:hAnsiTheme="majorBidi" w:cstheme="majorBidi"/>
          <w:sz w:val="24"/>
          <w:szCs w:val="24"/>
        </w:rPr>
        <w:t>Finally, the ruling entrenches the constitutionalism by ensuring that individuals are not denied access to justice due to technicalities. For example, the move to reverse the decision of the Appellate Court means that convicts can apply for post-convict relief an event th</w:t>
      </w:r>
      <w:r w:rsidR="005440D4">
        <w:rPr>
          <w:rFonts w:asciiTheme="majorBidi" w:hAnsiTheme="majorBidi" w:cstheme="majorBidi"/>
          <w:sz w:val="24"/>
          <w:szCs w:val="24"/>
        </w:rPr>
        <w:t xml:space="preserve">ey realize their counsel’s performance did not meet the “reasonable standard.” </w:t>
      </w:r>
      <w:r w:rsidR="004576BE">
        <w:rPr>
          <w:rFonts w:asciiTheme="majorBidi" w:hAnsiTheme="majorBidi" w:cstheme="majorBidi"/>
          <w:sz w:val="24"/>
          <w:szCs w:val="24"/>
        </w:rPr>
        <w:t xml:space="preserve">In other words, it </w:t>
      </w:r>
      <w:r w:rsidR="004576BE">
        <w:rPr>
          <w:rFonts w:asciiTheme="majorBidi" w:hAnsiTheme="majorBidi" w:cstheme="majorBidi"/>
          <w:sz w:val="24"/>
          <w:szCs w:val="24"/>
        </w:rPr>
        <w:t xml:space="preserve">promotes access to justice by suspects as it insists on the reasonable performance of the counsels. </w:t>
      </w:r>
    </w:p>
    <w:p w:rsidR="00C76615" w:rsidP="00431EC2">
      <w:pPr>
        <w:tabs>
          <w:tab w:val="left" w:pos="3690"/>
        </w:tabs>
        <w:spacing w:line="480" w:lineRule="auto"/>
        <w:ind w:firstLine="720"/>
        <w:rPr>
          <w:rFonts w:asciiTheme="majorBidi" w:hAnsiTheme="majorBidi" w:cstheme="majorBidi"/>
          <w:sz w:val="24"/>
          <w:szCs w:val="24"/>
        </w:rPr>
      </w:pPr>
    </w:p>
    <w:p w:rsidR="009159E2" w:rsidRPr="000D410E" w:rsidP="00431EC2">
      <w:pPr>
        <w:tabs>
          <w:tab w:val="left" w:pos="3690"/>
        </w:tabs>
        <w:spacing w:line="480" w:lineRule="auto"/>
        <w:ind w:firstLine="720"/>
        <w:rPr>
          <w:rFonts w:asciiTheme="majorBidi" w:hAnsiTheme="majorBidi" w:cstheme="majorBidi"/>
          <w:sz w:val="24"/>
          <w:szCs w:val="24"/>
        </w:rPr>
      </w:pPr>
    </w:p>
    <w:p w:rsidR="00C54895" w:rsidP="00DC79C1">
      <w:pPr>
        <w:tabs>
          <w:tab w:val="left" w:pos="3690"/>
        </w:tabs>
        <w:spacing w:line="480" w:lineRule="auto"/>
        <w:ind w:firstLine="720"/>
        <w:rPr>
          <w:rFonts w:asciiTheme="majorBidi" w:hAnsiTheme="majorBidi" w:cstheme="majorBidi"/>
          <w:sz w:val="24"/>
          <w:szCs w:val="24"/>
        </w:rPr>
      </w:pPr>
    </w:p>
    <w:p w:rsidR="00DC79C1" w:rsidP="00DC79C1">
      <w:pPr>
        <w:tabs>
          <w:tab w:val="left" w:pos="3690"/>
        </w:tabs>
        <w:spacing w:line="480" w:lineRule="auto"/>
        <w:ind w:firstLine="720"/>
        <w:rPr>
          <w:rFonts w:asciiTheme="majorBidi" w:hAnsiTheme="majorBidi" w:cstheme="majorBidi"/>
          <w:sz w:val="24"/>
          <w:szCs w:val="24"/>
        </w:rPr>
      </w:pPr>
    </w:p>
    <w:p w:rsidR="00DC79C1" w:rsidP="00DC79C1">
      <w:pPr>
        <w:tabs>
          <w:tab w:val="left" w:pos="3690"/>
        </w:tabs>
        <w:spacing w:line="480" w:lineRule="auto"/>
        <w:ind w:firstLine="720"/>
        <w:rPr>
          <w:rFonts w:asciiTheme="majorBidi" w:hAnsiTheme="majorBidi" w:cstheme="majorBidi"/>
          <w:sz w:val="24"/>
          <w:szCs w:val="24"/>
        </w:rPr>
      </w:pPr>
    </w:p>
    <w:p w:rsidR="0089747A" w:rsidP="0068225F">
      <w:pPr>
        <w:spacing w:line="480" w:lineRule="auto"/>
        <w:ind w:firstLine="720"/>
        <w:rPr>
          <w:rFonts w:asciiTheme="majorBidi" w:hAnsiTheme="majorBidi" w:cstheme="majorBidi"/>
          <w:sz w:val="24"/>
          <w:szCs w:val="24"/>
        </w:rPr>
      </w:pPr>
    </w:p>
    <w:p w:rsidR="0068225F" w:rsidRPr="00764C73" w:rsidP="0068225F">
      <w:pPr>
        <w:spacing w:line="480" w:lineRule="auto"/>
        <w:ind w:firstLine="720"/>
        <w:rPr>
          <w:rFonts w:asciiTheme="majorBidi" w:hAnsiTheme="majorBidi" w:cstheme="majorBidi"/>
          <w:sz w:val="24"/>
          <w:szCs w:val="24"/>
        </w:rPr>
      </w:pPr>
    </w:p>
    <w:p w:rsidR="00ED6D0F">
      <w:pPr>
        <w:spacing w:line="480" w:lineRule="auto"/>
        <w:jc w:val="center"/>
        <w:rPr>
          <w:rFonts w:asciiTheme="majorBidi" w:hAnsiTheme="majorBidi" w:cstheme="majorBidi"/>
          <w:sz w:val="24"/>
          <w:szCs w:val="24"/>
        </w:rPr>
      </w:pPr>
    </w:p>
    <w:p w:rsidR="00AE1142">
      <w:pPr>
        <w:spacing w:line="480" w:lineRule="auto"/>
        <w:jc w:val="center"/>
        <w:rPr>
          <w:rFonts w:asciiTheme="majorBidi" w:hAnsiTheme="majorBidi" w:cstheme="majorBidi"/>
          <w:sz w:val="24"/>
          <w:szCs w:val="24"/>
        </w:rPr>
      </w:pPr>
    </w:p>
    <w:p w:rsidR="00AE1142">
      <w:pPr>
        <w:spacing w:line="480" w:lineRule="auto"/>
        <w:jc w:val="center"/>
        <w:rPr>
          <w:rFonts w:asciiTheme="majorBidi" w:hAnsiTheme="majorBidi" w:cstheme="majorBidi"/>
          <w:sz w:val="24"/>
          <w:szCs w:val="24"/>
        </w:rPr>
      </w:pPr>
    </w:p>
    <w:p w:rsidR="00AE1142">
      <w:pPr>
        <w:spacing w:line="480" w:lineRule="auto"/>
        <w:jc w:val="center"/>
        <w:rPr>
          <w:rFonts w:asciiTheme="majorBidi" w:hAnsiTheme="majorBidi" w:cstheme="majorBidi"/>
          <w:sz w:val="24"/>
          <w:szCs w:val="24"/>
        </w:rPr>
      </w:pPr>
    </w:p>
    <w:p w:rsidR="00AE1142">
      <w:pPr>
        <w:spacing w:line="480" w:lineRule="auto"/>
        <w:jc w:val="center"/>
        <w:rPr>
          <w:rFonts w:asciiTheme="majorBidi" w:hAnsiTheme="majorBidi" w:cstheme="majorBidi"/>
          <w:sz w:val="24"/>
          <w:szCs w:val="24"/>
        </w:rPr>
      </w:pPr>
    </w:p>
    <w:p w:rsidR="00AE1142">
      <w:pPr>
        <w:spacing w:line="480" w:lineRule="auto"/>
        <w:jc w:val="center"/>
        <w:rPr>
          <w:rFonts w:asciiTheme="majorBidi" w:hAnsiTheme="majorBidi" w:cstheme="majorBidi"/>
          <w:sz w:val="24"/>
          <w:szCs w:val="24"/>
        </w:rPr>
      </w:pPr>
    </w:p>
    <w:p w:rsidR="00AE1142">
      <w:pPr>
        <w:spacing w:line="480" w:lineRule="auto"/>
        <w:jc w:val="center"/>
        <w:rPr>
          <w:rFonts w:asciiTheme="majorBidi" w:hAnsiTheme="majorBidi" w:cstheme="majorBidi"/>
          <w:sz w:val="24"/>
          <w:szCs w:val="24"/>
        </w:rPr>
      </w:pPr>
    </w:p>
    <w:p w:rsidR="00AE1142">
      <w:pPr>
        <w:spacing w:line="480" w:lineRule="auto"/>
        <w:jc w:val="center"/>
        <w:rPr>
          <w:rFonts w:asciiTheme="majorBidi" w:hAnsiTheme="majorBidi" w:cstheme="majorBidi"/>
          <w:sz w:val="24"/>
          <w:szCs w:val="24"/>
        </w:rPr>
      </w:pPr>
    </w:p>
    <w:p w:rsidR="00AE1142">
      <w:pPr>
        <w:spacing w:line="480" w:lineRule="auto"/>
        <w:jc w:val="center"/>
        <w:rPr>
          <w:rFonts w:asciiTheme="majorBidi" w:hAnsiTheme="majorBidi" w:cstheme="majorBidi"/>
          <w:sz w:val="24"/>
          <w:szCs w:val="24"/>
        </w:rPr>
      </w:pPr>
    </w:p>
    <w:p w:rsidR="00AE1142">
      <w:pPr>
        <w:spacing w:line="480" w:lineRule="auto"/>
        <w:jc w:val="center"/>
        <w:rPr>
          <w:rFonts w:asciiTheme="majorBidi" w:hAnsiTheme="majorBidi" w:cstheme="majorBidi"/>
          <w:sz w:val="24"/>
          <w:szCs w:val="24"/>
        </w:rPr>
      </w:pPr>
    </w:p>
    <w:p w:rsidR="00AE1142">
      <w:pPr>
        <w:spacing w:line="480" w:lineRule="auto"/>
        <w:jc w:val="center"/>
        <w:rPr>
          <w:rFonts w:asciiTheme="majorBidi" w:hAnsiTheme="majorBidi" w:cstheme="majorBidi"/>
          <w:sz w:val="24"/>
          <w:szCs w:val="24"/>
        </w:rPr>
      </w:pPr>
    </w:p>
    <w:p w:rsidR="00AE1142">
      <w:pPr>
        <w:spacing w:line="480" w:lineRule="auto"/>
        <w:jc w:val="center"/>
        <w:rPr>
          <w:rFonts w:asciiTheme="majorBidi" w:hAnsiTheme="majorBidi" w:cstheme="majorBidi"/>
          <w:sz w:val="24"/>
          <w:szCs w:val="24"/>
        </w:rPr>
      </w:pPr>
      <w:r>
        <w:rPr>
          <w:rFonts w:asciiTheme="majorBidi" w:hAnsiTheme="majorBidi" w:cstheme="majorBidi"/>
          <w:sz w:val="24"/>
          <w:szCs w:val="24"/>
        </w:rPr>
        <w:t>References</w:t>
      </w:r>
    </w:p>
    <w:p w:rsidR="00AE1142" w:rsidP="00AE1142">
      <w:pPr>
        <w:pStyle w:val="Bibliography"/>
        <w:ind w:left="720" w:hanging="720"/>
        <w:rPr>
          <w:noProof/>
          <w:sz w:val="24"/>
          <w:szCs w:val="24"/>
        </w:rPr>
      </w:pPr>
      <w:r>
        <w:rPr>
          <w:rFonts w:asciiTheme="majorBidi" w:hAnsiTheme="majorBidi" w:cstheme="majorBidi"/>
          <w:sz w:val="24"/>
          <w:szCs w:val="24"/>
        </w:rPr>
        <w:fldChar w:fldCharType="begin"/>
      </w:r>
      <w:r>
        <w:rPr>
          <w:rFonts w:asciiTheme="majorBidi" w:hAnsiTheme="majorBidi" w:cstheme="majorBidi"/>
          <w:sz w:val="24"/>
          <w:szCs w:val="24"/>
        </w:rPr>
        <w:instrText xml:space="preserve"> BIBLIOGRAPHY  \l 1033 </w:instrText>
      </w:r>
      <w:r>
        <w:rPr>
          <w:rFonts w:asciiTheme="majorBidi" w:hAnsiTheme="majorBidi" w:cstheme="majorBidi"/>
          <w:sz w:val="24"/>
          <w:szCs w:val="24"/>
        </w:rPr>
        <w:fldChar w:fldCharType="separate"/>
      </w:r>
      <w:r>
        <w:rPr>
          <w:noProof/>
        </w:rPr>
        <w:t>Gilberto Garza Jr Petition v. Idaho, 586 U.S 17-1026 (The US Supreme Court February 27, 2019).</w:t>
      </w:r>
    </w:p>
    <w:p w:rsidR="00AE1142" w:rsidP="00AE1142">
      <w:pPr>
        <w:pStyle w:val="Bibliography"/>
        <w:ind w:left="720" w:hanging="720"/>
        <w:rPr>
          <w:noProof/>
        </w:rPr>
      </w:pPr>
      <w:r>
        <w:rPr>
          <w:noProof/>
        </w:rPr>
        <w:t>Roe v. Flores-Ortega, 528 U.S. 470 (The US Supreme Court February 23, 200).</w:t>
      </w:r>
    </w:p>
    <w:p w:rsidR="00AE1142" w:rsidP="00AE1142">
      <w:pPr>
        <w:spacing w:line="480" w:lineRule="auto"/>
        <w:rPr>
          <w:rFonts w:asciiTheme="majorBidi" w:hAnsiTheme="majorBidi" w:cstheme="majorBidi"/>
          <w:sz w:val="24"/>
          <w:szCs w:val="24"/>
        </w:rPr>
      </w:pPr>
      <w:r>
        <w:rPr>
          <w:rFonts w:asciiTheme="majorBidi" w:hAnsiTheme="majorBidi" w:cstheme="majorBidi"/>
          <w:sz w:val="24"/>
          <w:szCs w:val="24"/>
        </w:rPr>
        <w:fldChar w:fldCharType="end"/>
      </w:r>
      <w:bookmarkStart w:id="0" w:name="_GoBack"/>
      <w:bookmarkEnd w:id="0"/>
    </w:p>
    <w:p w:rsidR="00AE1142" w:rsidRPr="00764C73">
      <w:pPr>
        <w:spacing w:line="480" w:lineRule="auto"/>
        <w:jc w:val="center"/>
        <w:rPr>
          <w:rFonts w:asciiTheme="majorBidi" w:hAnsiTheme="majorBidi" w:cstheme="majorBidi"/>
          <w:sz w:val="24"/>
          <w:szCs w:val="24"/>
        </w:rPr>
      </w:pPr>
    </w:p>
    <w:sectPr w:rsidSect="00764C73">
      <w:headerReference w:type="default" r:id="rId5"/>
      <w:headerReference w:type="first" r:id="rId6"/>
      <w:pgSz w:w="11906" w:h="16838"/>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4BE4" w:rsidRPr="00764C73">
    <w:pPr>
      <w:pStyle w:val="Header"/>
      <w:rPr>
        <w:rFonts w:asciiTheme="majorBidi" w:hAnsiTheme="majorBidi" w:cstheme="majorBidi"/>
        <w:sz w:val="24"/>
        <w:szCs w:val="24"/>
      </w:rPr>
    </w:pPr>
    <w:r>
      <w:rPr>
        <w:rFonts w:asciiTheme="majorBidi" w:hAnsiTheme="majorBidi" w:cstheme="majorBidi"/>
        <w:sz w:val="24"/>
        <w:szCs w:val="24"/>
      </w:rPr>
      <w:t xml:space="preserve">Garza v. Idaho </w:t>
    </w:r>
    <w:r>
      <w:rPr>
        <w:rFonts w:asciiTheme="majorBidi" w:hAnsiTheme="majorBidi" w:cstheme="majorBidi"/>
        <w:sz w:val="24"/>
        <w:szCs w:val="24"/>
      </w:rPr>
      <w:tab/>
    </w:r>
    <w:r>
      <w:rPr>
        <w:rFonts w:asciiTheme="majorBidi" w:hAnsiTheme="majorBidi" w:cstheme="majorBidi"/>
        <w:sz w:val="24"/>
        <w:szCs w:val="24"/>
      </w:rPr>
      <w:tab/>
    </w:r>
    <w:r w:rsidRPr="00764C73">
      <w:rPr>
        <w:rFonts w:asciiTheme="majorBidi" w:hAnsiTheme="majorBidi" w:cstheme="majorBidi"/>
        <w:sz w:val="24"/>
        <w:szCs w:val="24"/>
      </w:rPr>
      <w:fldChar w:fldCharType="begin"/>
    </w:r>
    <w:r w:rsidRPr="00764C73">
      <w:rPr>
        <w:rFonts w:asciiTheme="majorBidi" w:hAnsiTheme="majorBidi" w:cstheme="majorBidi"/>
        <w:sz w:val="24"/>
        <w:szCs w:val="24"/>
      </w:rPr>
      <w:instrText xml:space="preserve"> PAGE   \* MERGEFORMAT </w:instrText>
    </w:r>
    <w:r w:rsidRPr="00764C73">
      <w:rPr>
        <w:rFonts w:asciiTheme="majorBidi" w:hAnsiTheme="majorBidi" w:cstheme="majorBidi"/>
        <w:sz w:val="24"/>
        <w:szCs w:val="24"/>
      </w:rPr>
      <w:fldChar w:fldCharType="separate"/>
    </w:r>
    <w:r w:rsidR="00AE1142">
      <w:rPr>
        <w:rFonts w:asciiTheme="majorBidi" w:hAnsiTheme="majorBidi" w:cstheme="majorBidi"/>
        <w:noProof/>
        <w:sz w:val="24"/>
        <w:szCs w:val="24"/>
      </w:rPr>
      <w:t>9</w:t>
    </w:r>
    <w:r w:rsidRPr="00764C73">
      <w:rPr>
        <w:rFonts w:asciiTheme="majorBidi" w:hAnsiTheme="majorBidi" w:cstheme="majorBidi"/>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4BE4" w:rsidRPr="00764C73">
    <w:pPr>
      <w:pStyle w:val="Header"/>
      <w:rPr>
        <w:rFonts w:asciiTheme="majorBidi" w:hAnsiTheme="majorBidi" w:cstheme="majorBidi"/>
        <w:sz w:val="24"/>
        <w:szCs w:val="24"/>
      </w:rPr>
    </w:pPr>
    <w:r>
      <w:rPr>
        <w:rFonts w:asciiTheme="majorBidi" w:hAnsiTheme="majorBidi" w:cstheme="majorBidi"/>
        <w:sz w:val="24"/>
        <w:szCs w:val="24"/>
      </w:rPr>
      <w:t xml:space="preserve">Running Head: Garza v. Idaho </w:t>
    </w:r>
    <w:r>
      <w:rPr>
        <w:rFonts w:asciiTheme="majorBidi" w:hAnsiTheme="majorBidi" w:cstheme="majorBidi"/>
        <w:sz w:val="24"/>
        <w:szCs w:val="24"/>
      </w:rPr>
      <w:tab/>
    </w:r>
    <w:r>
      <w:rPr>
        <w:rFonts w:asciiTheme="majorBidi" w:hAnsiTheme="majorBidi" w:cstheme="majorBidi"/>
        <w:sz w:val="24"/>
        <w:szCs w:val="24"/>
      </w:rPr>
      <w:tab/>
    </w:r>
    <w:r w:rsidRPr="00764C73">
      <w:rPr>
        <w:rFonts w:asciiTheme="majorBidi" w:hAnsiTheme="majorBidi" w:cstheme="majorBidi"/>
        <w:sz w:val="24"/>
        <w:szCs w:val="24"/>
      </w:rPr>
      <w:fldChar w:fldCharType="begin"/>
    </w:r>
    <w:r w:rsidRPr="00764C73">
      <w:rPr>
        <w:rFonts w:asciiTheme="majorBidi" w:hAnsiTheme="majorBidi" w:cstheme="majorBidi"/>
        <w:sz w:val="24"/>
        <w:szCs w:val="24"/>
      </w:rPr>
      <w:instrText xml:space="preserve"> PAGE   \* MERGEFORMAT </w:instrText>
    </w:r>
    <w:r w:rsidRPr="00764C73">
      <w:rPr>
        <w:rFonts w:asciiTheme="majorBidi" w:hAnsiTheme="majorBidi" w:cstheme="majorBidi"/>
        <w:sz w:val="24"/>
        <w:szCs w:val="24"/>
      </w:rPr>
      <w:fldChar w:fldCharType="separate"/>
    </w:r>
    <w:r w:rsidR="00E91345">
      <w:rPr>
        <w:rFonts w:asciiTheme="majorBidi" w:hAnsiTheme="majorBidi" w:cstheme="majorBidi"/>
        <w:noProof/>
        <w:sz w:val="24"/>
        <w:szCs w:val="24"/>
      </w:rPr>
      <w:t>1</w:t>
    </w:r>
    <w:r w:rsidRPr="00764C73">
      <w:rPr>
        <w:rFonts w:asciiTheme="majorBidi" w:hAnsiTheme="majorBidi" w:cstheme="majorBidi"/>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C73"/>
    <w:rsid w:val="00025B6E"/>
    <w:rsid w:val="00056ED4"/>
    <w:rsid w:val="0006443D"/>
    <w:rsid w:val="00067552"/>
    <w:rsid w:val="00084C35"/>
    <w:rsid w:val="000A4469"/>
    <w:rsid w:val="000B3C26"/>
    <w:rsid w:val="000B51C5"/>
    <w:rsid w:val="000D410E"/>
    <w:rsid w:val="000E1E28"/>
    <w:rsid w:val="00102313"/>
    <w:rsid w:val="00111B91"/>
    <w:rsid w:val="00113474"/>
    <w:rsid w:val="00142E66"/>
    <w:rsid w:val="00145F06"/>
    <w:rsid w:val="00187915"/>
    <w:rsid w:val="001B41FE"/>
    <w:rsid w:val="001C04FB"/>
    <w:rsid w:val="00202C93"/>
    <w:rsid w:val="002114C7"/>
    <w:rsid w:val="00254DCF"/>
    <w:rsid w:val="00256720"/>
    <w:rsid w:val="00291C21"/>
    <w:rsid w:val="00303257"/>
    <w:rsid w:val="00331145"/>
    <w:rsid w:val="00373C0B"/>
    <w:rsid w:val="00391157"/>
    <w:rsid w:val="0039754C"/>
    <w:rsid w:val="004009C0"/>
    <w:rsid w:val="00421959"/>
    <w:rsid w:val="00431EC2"/>
    <w:rsid w:val="0044546B"/>
    <w:rsid w:val="004576BE"/>
    <w:rsid w:val="00480EAB"/>
    <w:rsid w:val="005147D3"/>
    <w:rsid w:val="005440D4"/>
    <w:rsid w:val="005827B1"/>
    <w:rsid w:val="00592B62"/>
    <w:rsid w:val="005A530E"/>
    <w:rsid w:val="00651D3D"/>
    <w:rsid w:val="00653183"/>
    <w:rsid w:val="006671C8"/>
    <w:rsid w:val="00675FC6"/>
    <w:rsid w:val="0068225F"/>
    <w:rsid w:val="00693D33"/>
    <w:rsid w:val="006B1F27"/>
    <w:rsid w:val="00724BE4"/>
    <w:rsid w:val="00726DB7"/>
    <w:rsid w:val="00733EA9"/>
    <w:rsid w:val="00764C73"/>
    <w:rsid w:val="00797DB7"/>
    <w:rsid w:val="007D253B"/>
    <w:rsid w:val="007E3023"/>
    <w:rsid w:val="007E6463"/>
    <w:rsid w:val="00800901"/>
    <w:rsid w:val="008752A7"/>
    <w:rsid w:val="0089747A"/>
    <w:rsid w:val="008A18AD"/>
    <w:rsid w:val="008B481D"/>
    <w:rsid w:val="008C2291"/>
    <w:rsid w:val="008D6E2E"/>
    <w:rsid w:val="008F7E8A"/>
    <w:rsid w:val="009159E2"/>
    <w:rsid w:val="009267B7"/>
    <w:rsid w:val="00932AA4"/>
    <w:rsid w:val="00946202"/>
    <w:rsid w:val="00971BAA"/>
    <w:rsid w:val="0098103C"/>
    <w:rsid w:val="0098756B"/>
    <w:rsid w:val="009E4E0B"/>
    <w:rsid w:val="00A32118"/>
    <w:rsid w:val="00A4038C"/>
    <w:rsid w:val="00A41EF8"/>
    <w:rsid w:val="00A85BD9"/>
    <w:rsid w:val="00AB517F"/>
    <w:rsid w:val="00AE1142"/>
    <w:rsid w:val="00AE4955"/>
    <w:rsid w:val="00B2147F"/>
    <w:rsid w:val="00B4701D"/>
    <w:rsid w:val="00B54299"/>
    <w:rsid w:val="00B62E6E"/>
    <w:rsid w:val="00B84CDC"/>
    <w:rsid w:val="00BC3455"/>
    <w:rsid w:val="00BD3090"/>
    <w:rsid w:val="00C03AA7"/>
    <w:rsid w:val="00C27690"/>
    <w:rsid w:val="00C54895"/>
    <w:rsid w:val="00C61DF7"/>
    <w:rsid w:val="00C76615"/>
    <w:rsid w:val="00C80D56"/>
    <w:rsid w:val="00C81BE8"/>
    <w:rsid w:val="00D03005"/>
    <w:rsid w:val="00D36BD2"/>
    <w:rsid w:val="00D3725D"/>
    <w:rsid w:val="00D42D40"/>
    <w:rsid w:val="00D457FE"/>
    <w:rsid w:val="00D54BBB"/>
    <w:rsid w:val="00D71489"/>
    <w:rsid w:val="00DC658C"/>
    <w:rsid w:val="00DC79C1"/>
    <w:rsid w:val="00DD5475"/>
    <w:rsid w:val="00DE5C61"/>
    <w:rsid w:val="00E00B89"/>
    <w:rsid w:val="00E17EBF"/>
    <w:rsid w:val="00E91345"/>
    <w:rsid w:val="00ED6D0F"/>
    <w:rsid w:val="00F12C68"/>
    <w:rsid w:val="00F5669C"/>
    <w:rsid w:val="00F57D01"/>
    <w:rsid w:val="00F61676"/>
    <w:rsid w:val="00FA6C6A"/>
    <w:rsid w:val="00FB1A11"/>
    <w:rsid w:val="00FC7452"/>
    <w:rsid w:val="00FD0F54"/>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5:chartTrackingRefBased/>
  <w15:docId w15:val="{06F4D31B-57DB-41DB-B9EC-EEC18DEF4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4C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4C73"/>
    <w:rPr>
      <w:lang w:val="en-US"/>
    </w:rPr>
  </w:style>
  <w:style w:type="paragraph" w:styleId="Footer">
    <w:name w:val="footer"/>
    <w:basedOn w:val="Normal"/>
    <w:link w:val="FooterChar"/>
    <w:uiPriority w:val="99"/>
    <w:unhideWhenUsed/>
    <w:rsid w:val="00764C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4C73"/>
    <w:rPr>
      <w:lang w:val="en-US"/>
    </w:rPr>
  </w:style>
  <w:style w:type="paragraph" w:styleId="Bibliography">
    <w:name w:val="Bibliography"/>
    <w:basedOn w:val="Normal"/>
    <w:next w:val="Normal"/>
    <w:uiPriority w:val="37"/>
    <w:unhideWhenUsed/>
    <w:rsid w:val="00AE11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Roe00</b:Tag>
    <b:SourceType>Case</b:SourceType>
    <b:Guid>{30882D8A-6A0F-462E-801B-157F4257550E}</b:Guid>
    <b:Title>Roe v. Flores-Ortega</b:Title>
    <b:Year>200</b:Year>
    <b:CaseNumber>528 U.S. 470</b:CaseNumber>
    <b:Court>The US Supreme Court </b:Court>
    <b:Month>February </b:Month>
    <b:Day>23</b:Day>
    <b:RefOrder>2</b:RefOrder>
  </b:Source>
  <b:Source>
    <b:Tag>19Th</b:Tag>
    <b:SourceType>Case</b:SourceType>
    <b:Guid>{238BA79F-35DA-4100-AAD2-3C0773EDA04C}</b:Guid>
    <b:Court>The US Supreme Court</b:Court>
    <b:Year>2019</b:Year>
    <b:Month>February</b:Month>
    <b:Day>27</b:Day>
    <b:CaseNumber>586 U.S 17-1026</b:CaseNumber>
    <b:Title>Gilberto Garza Jr Petition v. Idaho</b:Title>
    <b:RefOrder>1</b:RefOrder>
  </b:Source>
</b:Sources>
</file>

<file path=customXml/itemProps1.xml><?xml version="1.0" encoding="utf-8"?>
<ds:datastoreItem xmlns:ds="http://schemas.openxmlformats.org/officeDocument/2006/customXml" ds:itemID="{8F16A1D7-2B2A-4BF7-8547-73DA5C03F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490</TotalTime>
  <Pages>9</Pages>
  <Words>1942</Words>
  <Characters>11070</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79</cp:revision>
  <dcterms:created xsi:type="dcterms:W3CDTF">2019-06-26T07:32:00Z</dcterms:created>
  <dcterms:modified xsi:type="dcterms:W3CDTF">2019-06-26T16:20:00Z</dcterms:modified>
</cp:coreProperties>
</file>